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99C6B" w14:textId="2936F9E3" w:rsidR="002A5FFF" w:rsidRPr="002A5FFF" w:rsidRDefault="002A5FFF" w:rsidP="002A5FFF">
      <w:pPr>
        <w:spacing w:line="264" w:lineRule="auto"/>
        <w:ind w:left="-567" w:right="-465"/>
        <w:rPr>
          <w:rFonts w:ascii="Times New Roman" w:hAnsi="Times New Roman" w:cs="Times New Roman"/>
          <w:sz w:val="18"/>
        </w:rPr>
      </w:pPr>
      <w:r w:rsidRPr="002A5FFF">
        <w:rPr>
          <w:rFonts w:ascii="Times New Roman" w:hAnsi="Times New Roman" w:cs="Times New Roman"/>
          <w:sz w:val="18"/>
        </w:rPr>
        <w:t xml:space="preserve">The Cracow University of Technology Public Information Bulletin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sidRPr="002A5FFF">
        <w:rPr>
          <w:rFonts w:ascii="Times New Roman" w:hAnsi="Times New Roman" w:cs="Times New Roman"/>
          <w:sz w:val="18"/>
        </w:rPr>
        <w:t>https://bip.pk.edu.pl/wydruk.php?dok=3672</w:t>
      </w:r>
    </w:p>
    <w:p w14:paraId="77127CA6" w14:textId="77777777" w:rsidR="002A5FFF" w:rsidRPr="002A5FFF" w:rsidRDefault="002A5FFF" w:rsidP="002A5FFF">
      <w:pPr>
        <w:spacing w:line="264" w:lineRule="auto"/>
        <w:ind w:left="851" w:right="811"/>
        <w:rPr>
          <w:rFonts w:ascii="Times New Roman" w:hAnsi="Times New Roman" w:cs="Times New Roman"/>
        </w:rPr>
      </w:pPr>
    </w:p>
    <w:p w14:paraId="1B44ECF6" w14:textId="77777777" w:rsidR="002A5FFF" w:rsidRPr="002A5FFF" w:rsidRDefault="002A5FFF" w:rsidP="002A5FFF">
      <w:pPr>
        <w:spacing w:line="264" w:lineRule="auto"/>
        <w:ind w:left="851" w:right="811"/>
        <w:rPr>
          <w:rFonts w:ascii="Times New Roman" w:hAnsi="Times New Roman" w:cs="Times New Roman"/>
        </w:rPr>
      </w:pPr>
    </w:p>
    <w:p w14:paraId="4081B53F" w14:textId="77777777" w:rsidR="002A5FFF" w:rsidRPr="002A5FFF" w:rsidRDefault="002A5FFF" w:rsidP="002A5FFF">
      <w:pPr>
        <w:spacing w:line="264" w:lineRule="auto"/>
        <w:ind w:right="811"/>
        <w:rPr>
          <w:rFonts w:ascii="Times New Roman" w:hAnsi="Times New Roman" w:cs="Times New Roman"/>
        </w:rPr>
      </w:pPr>
    </w:p>
    <w:p w14:paraId="5979E02C" w14:textId="2E640537" w:rsidR="002A5FFF" w:rsidRPr="002A5FFF" w:rsidRDefault="002A5FFF" w:rsidP="002A5FFF">
      <w:pPr>
        <w:spacing w:line="264" w:lineRule="auto"/>
        <w:ind w:left="851" w:right="811"/>
        <w:jc w:val="center"/>
        <w:rPr>
          <w:rFonts w:ascii="Times New Roman" w:hAnsi="Times New Roman" w:cs="Times New Roman"/>
          <w:b/>
        </w:rPr>
      </w:pPr>
      <w:r w:rsidRPr="002A5FFF">
        <w:rPr>
          <w:rFonts w:ascii="Times New Roman" w:hAnsi="Times New Roman" w:cs="Times New Roman"/>
          <w:b/>
        </w:rPr>
        <w:t>Resolution of the Senate of the Cracow University of Technology</w:t>
      </w:r>
    </w:p>
    <w:p w14:paraId="4B130F3F" w14:textId="3399CD41" w:rsidR="002A5FFF" w:rsidRPr="002A5FFF" w:rsidRDefault="002A5FFF" w:rsidP="002A5FFF">
      <w:pPr>
        <w:spacing w:line="264" w:lineRule="auto"/>
        <w:ind w:left="851" w:right="811"/>
        <w:jc w:val="center"/>
        <w:rPr>
          <w:rFonts w:ascii="Times New Roman" w:hAnsi="Times New Roman" w:cs="Times New Roman"/>
          <w:b/>
        </w:rPr>
      </w:pPr>
      <w:r w:rsidRPr="002A5FFF">
        <w:rPr>
          <w:rFonts w:ascii="Times New Roman" w:hAnsi="Times New Roman" w:cs="Times New Roman"/>
          <w:b/>
        </w:rPr>
        <w:t>from 28 April 2021</w:t>
      </w:r>
    </w:p>
    <w:p w14:paraId="353CCA2A" w14:textId="77777777" w:rsidR="002A5FFF" w:rsidRPr="002A5FFF" w:rsidRDefault="002A5FFF" w:rsidP="002A5FFF">
      <w:pPr>
        <w:spacing w:line="264" w:lineRule="auto"/>
        <w:ind w:left="851" w:right="811"/>
        <w:jc w:val="center"/>
        <w:rPr>
          <w:rFonts w:ascii="Times New Roman" w:hAnsi="Times New Roman" w:cs="Times New Roman"/>
          <w:b/>
        </w:rPr>
      </w:pPr>
      <w:r w:rsidRPr="002A5FFF">
        <w:rPr>
          <w:rFonts w:ascii="Times New Roman" w:hAnsi="Times New Roman" w:cs="Times New Roman"/>
          <w:b/>
        </w:rPr>
        <w:t>no 34/d/04/2021</w:t>
      </w:r>
    </w:p>
    <w:p w14:paraId="782484C5" w14:textId="77777777" w:rsidR="002A5FFF" w:rsidRDefault="002A5FFF" w:rsidP="002A5FFF">
      <w:pPr>
        <w:spacing w:line="264" w:lineRule="auto"/>
        <w:ind w:left="851" w:right="811"/>
        <w:rPr>
          <w:rFonts w:ascii="Times New Roman" w:hAnsi="Times New Roman" w:cs="Times New Roman"/>
        </w:rPr>
      </w:pPr>
    </w:p>
    <w:p w14:paraId="03012C82" w14:textId="77777777" w:rsidR="002A5FFF" w:rsidRPr="002A5FFF" w:rsidRDefault="002A5FFF" w:rsidP="002A5FFF">
      <w:pPr>
        <w:spacing w:line="264" w:lineRule="auto"/>
        <w:ind w:left="851" w:right="811"/>
        <w:rPr>
          <w:rFonts w:ascii="Times New Roman" w:hAnsi="Times New Roman" w:cs="Times New Roman"/>
        </w:rPr>
      </w:pPr>
    </w:p>
    <w:p w14:paraId="2C067FC4" w14:textId="77777777" w:rsidR="002A5FFF" w:rsidRPr="002A5FFF" w:rsidRDefault="002A5FFF" w:rsidP="002A5FFF">
      <w:pPr>
        <w:spacing w:line="264" w:lineRule="auto"/>
        <w:ind w:left="851" w:right="811"/>
        <w:jc w:val="center"/>
        <w:rPr>
          <w:rFonts w:ascii="Times New Roman" w:hAnsi="Times New Roman" w:cs="Times New Roman"/>
          <w:b/>
        </w:rPr>
      </w:pPr>
      <w:r w:rsidRPr="002A5FFF">
        <w:rPr>
          <w:rFonts w:ascii="Times New Roman" w:hAnsi="Times New Roman" w:cs="Times New Roman"/>
          <w:b/>
        </w:rPr>
        <w:t>Concerning amendments to the Resolution of the Cracow University of Technology from 29 May 2019 no. 46/d/05/2019 concerning the Bylaws of Studies at the Tadeusz Kościuszko Cracow University of Technology</w:t>
      </w:r>
    </w:p>
    <w:p w14:paraId="106041F8" w14:textId="77777777" w:rsidR="002A5FFF" w:rsidRPr="002A5FFF" w:rsidRDefault="002A5FFF" w:rsidP="002A5FFF">
      <w:pPr>
        <w:spacing w:line="264" w:lineRule="auto"/>
        <w:ind w:left="851" w:right="811"/>
        <w:rPr>
          <w:rFonts w:ascii="Times New Roman" w:hAnsi="Times New Roman" w:cs="Times New Roman"/>
        </w:rPr>
      </w:pPr>
    </w:p>
    <w:p w14:paraId="57CF90AC" w14:textId="77777777" w:rsidR="002A5FFF" w:rsidRPr="002A5FFF" w:rsidRDefault="002A5FFF" w:rsidP="002A5FFF">
      <w:pPr>
        <w:spacing w:line="264" w:lineRule="auto"/>
        <w:ind w:left="851" w:right="811"/>
        <w:rPr>
          <w:rFonts w:ascii="Times New Roman" w:hAnsi="Times New Roman" w:cs="Times New Roman"/>
        </w:rPr>
      </w:pPr>
    </w:p>
    <w:p w14:paraId="50EDFE8F" w14:textId="77777777" w:rsidR="002A5FFF" w:rsidRPr="002A5FFF" w:rsidRDefault="002A5FFF" w:rsidP="002A5FFF">
      <w:pPr>
        <w:spacing w:line="264" w:lineRule="auto"/>
        <w:ind w:left="851" w:right="811" w:firstLine="589"/>
        <w:rPr>
          <w:rFonts w:ascii="Times New Roman" w:hAnsi="Times New Roman" w:cs="Times New Roman"/>
        </w:rPr>
      </w:pPr>
      <w:r w:rsidRPr="002A5FFF">
        <w:rPr>
          <w:rFonts w:ascii="Times New Roman" w:hAnsi="Times New Roman" w:cs="Times New Roman"/>
        </w:rPr>
        <w:t>Pursuant to Art. 28 (1) (2) of the Act of 20 July 2018 on Higher Education Law (Journal of Laws from 2021, item 478 as amended) it is hereby resolved as follows:</w:t>
      </w:r>
    </w:p>
    <w:p w14:paraId="5F152C46" w14:textId="77777777" w:rsidR="002A5FFF" w:rsidRDefault="002A5FFF" w:rsidP="002A5FFF">
      <w:pPr>
        <w:spacing w:line="264" w:lineRule="auto"/>
        <w:ind w:left="851" w:right="811"/>
        <w:rPr>
          <w:rFonts w:ascii="Times New Roman" w:hAnsi="Times New Roman" w:cs="Times New Roman"/>
        </w:rPr>
      </w:pPr>
    </w:p>
    <w:p w14:paraId="554B9940" w14:textId="77777777" w:rsidR="002A5FFF" w:rsidRPr="002A5FFF" w:rsidRDefault="002A5FFF" w:rsidP="002A5FFF">
      <w:pPr>
        <w:spacing w:line="264" w:lineRule="auto"/>
        <w:ind w:left="851" w:right="811"/>
        <w:jc w:val="center"/>
        <w:rPr>
          <w:rFonts w:ascii="Times New Roman" w:hAnsi="Times New Roman" w:cs="Times New Roman"/>
        </w:rPr>
      </w:pPr>
      <w:r w:rsidRPr="002A5FFF">
        <w:rPr>
          <w:rFonts w:ascii="Times New Roman" w:hAnsi="Times New Roman" w:cs="Times New Roman"/>
        </w:rPr>
        <w:t>§ 1</w:t>
      </w:r>
    </w:p>
    <w:p w14:paraId="33004692" w14:textId="77777777" w:rsidR="002A5FFF" w:rsidRDefault="002A5FFF" w:rsidP="002A5FFF">
      <w:pPr>
        <w:spacing w:line="264" w:lineRule="auto"/>
        <w:ind w:left="851" w:right="811"/>
        <w:jc w:val="both"/>
        <w:rPr>
          <w:rFonts w:ascii="Times New Roman" w:hAnsi="Times New Roman" w:cs="Times New Roman"/>
        </w:rPr>
      </w:pPr>
      <w:r w:rsidRPr="002A5FFF">
        <w:rPr>
          <w:rFonts w:ascii="Times New Roman" w:hAnsi="Times New Roman" w:cs="Times New Roman"/>
        </w:rPr>
        <w:t>Within the annex to the Resolution of the Cracow University of Technology from 29 May 2019 no. 46/d/05/2019 concerning the Bylaws of Studies at the Tadeusz Kościuszko Cracow University of Technology, as amended, the following amendments shall be introduced:</w:t>
      </w:r>
    </w:p>
    <w:p w14:paraId="39A04BBF" w14:textId="3BCF2AAE" w:rsidR="002A5FFF" w:rsidRPr="002A5FFF" w:rsidRDefault="002A5FFF" w:rsidP="002A5FFF">
      <w:pPr>
        <w:spacing w:line="264" w:lineRule="auto"/>
        <w:ind w:left="851" w:right="81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2A5FFF">
        <w:rPr>
          <w:rFonts w:ascii="Times New Roman" w:hAnsi="Times New Roman" w:cs="Times New Roman"/>
        </w:rPr>
        <w:t>in 2 § par. 1, point 1 obtains the following wording:</w:t>
      </w:r>
    </w:p>
    <w:p w14:paraId="4B451B9C" w14:textId="77777777" w:rsid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„1) recruitment by way of entry on the list of students performed by the applicable recruitment committee or pursuant to the PK Rector's decision or decision of Proxy on Education authorized by the PK Rector, issued in the appeal proceeding”;</w:t>
      </w:r>
    </w:p>
    <w:p w14:paraId="2D700E12" w14:textId="6A23EEEB"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2A5FFF">
        <w:rPr>
          <w:rFonts w:ascii="Times New Roman" w:hAnsi="Times New Roman" w:cs="Times New Roman"/>
        </w:rPr>
        <w:t>in § 8 par. 2 point 11 obtains the following wording:</w:t>
      </w:r>
    </w:p>
    <w:p w14:paraId="7C8F583B" w14:textId="77777777" w:rsidR="002A5FFF" w:rsidRDefault="002A5FFF" w:rsidP="002A5FFF">
      <w:pPr>
        <w:spacing w:line="264" w:lineRule="auto"/>
        <w:ind w:left="851" w:right="811" w:firstLine="589"/>
        <w:jc w:val="both"/>
        <w:rPr>
          <w:rFonts w:ascii="Times New Roman" w:hAnsi="Times New Roman" w:cs="Times New Roman"/>
        </w:rPr>
      </w:pPr>
      <w:r w:rsidRPr="002A5FFF">
        <w:rPr>
          <w:rFonts w:ascii="Times New Roman" w:hAnsi="Times New Roman" w:cs="Times New Roman"/>
        </w:rPr>
        <w:t>„11) psychological-pedagogical assist</w:t>
      </w:r>
      <w:r>
        <w:rPr>
          <w:rFonts w:ascii="Times New Roman" w:hAnsi="Times New Roman" w:cs="Times New Roman"/>
        </w:rPr>
        <w:t>ance”;</w:t>
      </w:r>
    </w:p>
    <w:p w14:paraId="14C0D89B" w14:textId="7190B41C"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2A5FFF">
        <w:rPr>
          <w:rFonts w:ascii="Times New Roman" w:hAnsi="Times New Roman" w:cs="Times New Roman"/>
        </w:rPr>
        <w:t>in § 16 par. 2 point 6 obtains the following wording:</w:t>
      </w:r>
    </w:p>
    <w:p w14:paraId="45427E36" w14:textId="77777777" w:rsidR="002A5FFF" w:rsidRPr="002A5FFF" w:rsidRDefault="002A5FFF" w:rsidP="002A5FFF">
      <w:pPr>
        <w:spacing w:line="264" w:lineRule="auto"/>
        <w:ind w:left="851" w:right="811" w:firstLine="589"/>
        <w:jc w:val="both"/>
        <w:rPr>
          <w:rFonts w:ascii="Times New Roman" w:hAnsi="Times New Roman" w:cs="Times New Roman"/>
        </w:rPr>
      </w:pPr>
      <w:r w:rsidRPr="002A5FFF">
        <w:rPr>
          <w:rFonts w:ascii="Times New Roman" w:hAnsi="Times New Roman" w:cs="Times New Roman"/>
        </w:rPr>
        <w:t>„6) number of points assigned to individual subjects is specified in the  syllabus”;</w:t>
      </w:r>
    </w:p>
    <w:p w14:paraId="22F0B789" w14:textId="6EB155BC"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2A5FFF">
        <w:rPr>
          <w:rFonts w:ascii="Times New Roman" w:hAnsi="Times New Roman" w:cs="Times New Roman"/>
        </w:rPr>
        <w:t xml:space="preserve">in § 18 par. </w:t>
      </w:r>
      <w:r>
        <w:rPr>
          <w:rFonts w:ascii="Times New Roman" w:hAnsi="Times New Roman" w:cs="Times New Roman"/>
        </w:rPr>
        <w:t>5 obtains the following wording:</w:t>
      </w:r>
    </w:p>
    <w:p w14:paraId="07BDB50D"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“5. Passing the forms of classes which comprise a given subject which does not end with an exam ought to be conducted prior to the commencement of an exam session. During an exam session or a re-sit session a re-sit term of passing these forms of classes may be organized”;</w:t>
      </w:r>
    </w:p>
    <w:p w14:paraId="13D762A1" w14:textId="71F9C079"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Pr="002A5FFF">
        <w:rPr>
          <w:rFonts w:ascii="Times New Roman" w:hAnsi="Times New Roman" w:cs="Times New Roman"/>
        </w:rPr>
        <w:t>in § 18 par. 9 obtains the following wording:</w:t>
      </w:r>
    </w:p>
    <w:p w14:paraId="48EF8916"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„9. Entry of a positive grade, as specified in § 17 par. 2 to the course completion report or approval of the report in the electronic system designated for managing the course of studies at PK by an authorized person specified in par. 7 constitutes a formal confirmation of passing a given subject. These actions ought to be conducted no later than within two working days after completion of the exam or re-sit session, respectively”;</w:t>
      </w:r>
    </w:p>
    <w:p w14:paraId="286AFF97" w14:textId="6F5FE461"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A5FFF">
        <w:rPr>
          <w:rFonts w:ascii="Times New Roman" w:hAnsi="Times New Roman" w:cs="Times New Roman"/>
        </w:rPr>
        <w:t>in § 19 par. 1 obtains the following wording:</w:t>
      </w:r>
    </w:p>
    <w:p w14:paraId="2BDBFB3B"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„1. With respect of subjects ending with an exam two exam terms are organized: the basic term during exam session and a re-sit term during re-sit session, subject to § 22 par. 3”;</w:t>
      </w:r>
    </w:p>
    <w:p w14:paraId="3141C2D4" w14:textId="6802359B"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A5FFF">
        <w:rPr>
          <w:rFonts w:ascii="Times New Roman" w:hAnsi="Times New Roman" w:cs="Times New Roman"/>
        </w:rPr>
        <w:t>in § 22 par. 3 and 4 obtains the following wording:</w:t>
      </w:r>
    </w:p>
    <w:p w14:paraId="42DC01ED"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„3. Within the term of one month from the date of obtaining registration with a credit loan, the student is entitled to attempt to pass each form of classes which comprise a given course once and take an exam in the framework of this course once, subject to this entitlement not being granted to students who did not fulfil the requirement of attendance during classes specified in § 12 par. 7.</w:t>
      </w:r>
    </w:p>
    <w:p w14:paraId="0D42C2CF"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 xml:space="preserve">4. Failing to pass a subject covered by the credit loan according to the principles specified in par. 3 ends with the necessity to re-take it and, as a consequence, also with lack of possibility to participate in classes and to pass those subjects which are continued in the subsequent </w:t>
      </w:r>
      <w:r w:rsidRPr="002A5FFF">
        <w:rPr>
          <w:rFonts w:ascii="Times New Roman" w:hAnsi="Times New Roman" w:cs="Times New Roman"/>
        </w:rPr>
        <w:lastRenderedPageBreak/>
        <w:t>semester of studies or of which the failed subject was basis. The list of sequences of subjects that constitute the basis for the subjects conducted in the subsequent semester is established by the relevant dean”;</w:t>
      </w:r>
    </w:p>
    <w:p w14:paraId="55382D47" w14:textId="03430611" w:rsidR="002A5FFF" w:rsidRPr="002A5FFF" w:rsidRDefault="002A5FFF" w:rsidP="002A5FFF">
      <w:pPr>
        <w:spacing w:line="264" w:lineRule="auto"/>
        <w:ind w:right="811" w:firstLine="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A5FFF">
        <w:rPr>
          <w:rFonts w:ascii="Times New Roman" w:hAnsi="Times New Roman" w:cs="Times New Roman"/>
        </w:rPr>
        <w:t>in § 22 par. 6 obtains the following wording:</w:t>
      </w:r>
    </w:p>
    <w:p w14:paraId="672DF1D4" w14:textId="77777777" w:rsidR="002A5FFF" w:rsidRPr="002A5FFF" w:rsidRDefault="002A5FFF" w:rsidP="002A5FFF">
      <w:pPr>
        <w:spacing w:line="264" w:lineRule="auto"/>
        <w:ind w:left="1440" w:right="811"/>
        <w:jc w:val="both"/>
        <w:rPr>
          <w:rFonts w:ascii="Times New Roman" w:hAnsi="Times New Roman" w:cs="Times New Roman"/>
        </w:rPr>
      </w:pPr>
      <w:r w:rsidRPr="002A5FFF">
        <w:rPr>
          <w:rFonts w:ascii="Times New Roman" w:hAnsi="Times New Roman" w:cs="Times New Roman"/>
        </w:rPr>
        <w:t>„6. The fee for re-taking a failed subject is calculated on the basis of data passed on by the teacher who runs a given subject, who indicates the forms of classes which must be retaken due to failing to pass them by the student”</w:t>
      </w:r>
    </w:p>
    <w:p w14:paraId="096D19E8" w14:textId="2E37FD87" w:rsidR="002A5FFF" w:rsidRPr="002A5FFF" w:rsidRDefault="002A5FFF" w:rsidP="002A5FFF">
      <w:pPr>
        <w:spacing w:line="264" w:lineRule="auto"/>
        <w:ind w:left="1440" w:right="811"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A5FFF">
        <w:rPr>
          <w:rFonts w:ascii="Times New Roman" w:hAnsi="Times New Roman" w:cs="Times New Roman"/>
        </w:rPr>
        <w:t>in § 40 numeration of editorial units is introduced; sentence: „Within the term until 30 September 2020 the requirement of submitting in the dean's office or submitting to the examination committee student’s ID card or a document confirming the fact of its loss or theft, as specified in § 31 par. 4 shall not be binding for students who pass the diploma exam</w:t>
      </w:r>
      <w:r>
        <w:rPr>
          <w:rFonts w:ascii="Times New Roman" w:hAnsi="Times New Roman" w:cs="Times New Roman"/>
        </w:rPr>
        <w:t xml:space="preserve"> o</w:t>
      </w:r>
      <w:r w:rsidRPr="002A5FFF">
        <w:rPr>
          <w:rFonts w:ascii="Times New Roman" w:hAnsi="Times New Roman" w:cs="Times New Roman"/>
        </w:rPr>
        <w:t>rganized with the use of IT technologies according to the principles specified in the Act of 16 April 2020 on detailed instruments of su</w:t>
      </w:r>
      <w:r>
        <w:rPr>
          <w:rFonts w:ascii="Times New Roman" w:hAnsi="Times New Roman" w:cs="Times New Roman"/>
        </w:rPr>
        <w:t xml:space="preserve">pport pursuant to the spread of </w:t>
      </w:r>
      <w:r w:rsidRPr="002A5FFF">
        <w:rPr>
          <w:rFonts w:ascii="Times New Roman" w:hAnsi="Times New Roman" w:cs="Times New Roman"/>
        </w:rPr>
        <w:t>SARS-CoV-2 virus (Journal of Laws from 2020, item 695)” obtains designation: par. 1;</w:t>
      </w:r>
    </w:p>
    <w:p w14:paraId="39878005" w14:textId="712522F2" w:rsidR="002A5FFF" w:rsidRPr="002A5FFF" w:rsidRDefault="002A5FFF" w:rsidP="002A5FFF">
      <w:pPr>
        <w:spacing w:line="264" w:lineRule="auto"/>
        <w:ind w:left="1440" w:right="811"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A5FFF">
        <w:rPr>
          <w:rFonts w:ascii="Times New Roman" w:hAnsi="Times New Roman" w:cs="Times New Roman"/>
        </w:rPr>
        <w:t>in § 40 par. 2 shall be added in the following wording: “2. A person enrolled on second cycle studies commencing in the academic year 2021/22 who presented a certificate of completion of studies in the process of recruitment shall be obliged – within 30 days from issuance of the diploma of completion of studies – to submit a copy of diploma to the dean’s office and to submit an original diploma in order to include the copy of diploma certified by the university to the student personal files held by the university under the pain of removal of that person from the list of students”.</w:t>
      </w:r>
    </w:p>
    <w:p w14:paraId="38BA9D25" w14:textId="77777777" w:rsidR="002A5FFF" w:rsidRDefault="002A5FFF" w:rsidP="002A5FFF">
      <w:pPr>
        <w:spacing w:line="264" w:lineRule="auto"/>
        <w:ind w:left="851" w:right="811"/>
        <w:jc w:val="both"/>
        <w:rPr>
          <w:rFonts w:ascii="Times New Roman" w:hAnsi="Times New Roman" w:cs="Times New Roman"/>
        </w:rPr>
      </w:pPr>
    </w:p>
    <w:p w14:paraId="1E471623" w14:textId="77777777" w:rsidR="002A5FFF" w:rsidRPr="002A5FFF" w:rsidRDefault="002A5FFF" w:rsidP="002A5FFF">
      <w:pPr>
        <w:spacing w:line="264" w:lineRule="auto"/>
        <w:ind w:left="851" w:right="811"/>
        <w:jc w:val="center"/>
        <w:rPr>
          <w:rFonts w:ascii="Times New Roman" w:hAnsi="Times New Roman" w:cs="Times New Roman"/>
        </w:rPr>
      </w:pPr>
      <w:r w:rsidRPr="002A5FFF">
        <w:rPr>
          <w:rFonts w:ascii="Times New Roman" w:hAnsi="Times New Roman" w:cs="Times New Roman"/>
        </w:rPr>
        <w:t>§ 2</w:t>
      </w:r>
    </w:p>
    <w:p w14:paraId="2828F9C8" w14:textId="6A2B5866" w:rsidR="002A5FFF" w:rsidRPr="002A5FFF" w:rsidRDefault="002A5FFF" w:rsidP="002A5FFF">
      <w:pPr>
        <w:pStyle w:val="Akapitzlist"/>
        <w:numPr>
          <w:ilvl w:val="0"/>
          <w:numId w:val="4"/>
        </w:numPr>
        <w:spacing w:line="264" w:lineRule="auto"/>
        <w:ind w:left="1134" w:right="811"/>
        <w:jc w:val="both"/>
        <w:rPr>
          <w:rFonts w:ascii="Times New Roman" w:hAnsi="Times New Roman" w:cs="Times New Roman"/>
        </w:rPr>
      </w:pPr>
      <w:r w:rsidRPr="002A5FFF">
        <w:rPr>
          <w:rFonts w:ascii="Times New Roman" w:hAnsi="Times New Roman" w:cs="Times New Roman"/>
        </w:rPr>
        <w:t>The consolidated text of “Bylaws of Studies at the Tadeusz Kościuszko Cracow University of Technology, encompassing changes introduced in § 1 constitutes an appendix to the hereby Resolution.</w:t>
      </w:r>
    </w:p>
    <w:p w14:paraId="470348EB" w14:textId="1BEB3798" w:rsidR="002A5FFF" w:rsidRPr="002A5FFF" w:rsidRDefault="002A5FFF" w:rsidP="002A5FFF">
      <w:pPr>
        <w:pStyle w:val="Akapitzlist"/>
        <w:numPr>
          <w:ilvl w:val="0"/>
          <w:numId w:val="4"/>
        </w:numPr>
        <w:spacing w:line="264" w:lineRule="auto"/>
        <w:ind w:left="1134" w:right="811"/>
        <w:jc w:val="both"/>
        <w:rPr>
          <w:rFonts w:ascii="Times New Roman" w:hAnsi="Times New Roman" w:cs="Times New Roman"/>
        </w:rPr>
      </w:pPr>
      <w:r w:rsidRPr="002A5FFF">
        <w:rPr>
          <w:rFonts w:ascii="Times New Roman" w:hAnsi="Times New Roman" w:cs="Times New Roman"/>
        </w:rPr>
        <w:t>Within the consolidated text of “Bylaws of Studies at the Tadeusz Kościuszko Cracow University of Technology which constitutes an appendix to the hereby Resolution omits the content of § 40 par. 1 of the hereby Bylaws as expired since 1 October 2020.</w:t>
      </w:r>
    </w:p>
    <w:p w14:paraId="29C08355" w14:textId="77777777" w:rsidR="002A5FFF" w:rsidRDefault="002A5FFF" w:rsidP="002A5FFF">
      <w:pPr>
        <w:spacing w:line="264" w:lineRule="auto"/>
        <w:ind w:left="851" w:right="811"/>
        <w:jc w:val="both"/>
        <w:rPr>
          <w:rFonts w:ascii="Times New Roman" w:hAnsi="Times New Roman" w:cs="Times New Roman"/>
        </w:rPr>
      </w:pPr>
    </w:p>
    <w:p w14:paraId="64114259" w14:textId="77777777" w:rsidR="002A5FFF" w:rsidRPr="002A5FFF" w:rsidRDefault="002A5FFF" w:rsidP="002A5FFF">
      <w:pPr>
        <w:spacing w:line="264" w:lineRule="auto"/>
        <w:ind w:left="851" w:right="811"/>
        <w:jc w:val="center"/>
        <w:rPr>
          <w:rFonts w:ascii="Times New Roman" w:hAnsi="Times New Roman" w:cs="Times New Roman"/>
        </w:rPr>
      </w:pPr>
      <w:r w:rsidRPr="002A5FFF">
        <w:rPr>
          <w:rFonts w:ascii="Times New Roman" w:hAnsi="Times New Roman" w:cs="Times New Roman"/>
        </w:rPr>
        <w:t>§ 3</w:t>
      </w:r>
    </w:p>
    <w:p w14:paraId="052B4E84" w14:textId="77777777" w:rsidR="002A5FFF" w:rsidRPr="002A5FFF" w:rsidRDefault="002A5FFF" w:rsidP="002A5FFF">
      <w:pPr>
        <w:spacing w:line="264" w:lineRule="auto"/>
        <w:ind w:left="851" w:right="811"/>
        <w:jc w:val="both"/>
        <w:rPr>
          <w:rFonts w:ascii="Times New Roman" w:hAnsi="Times New Roman" w:cs="Times New Roman"/>
        </w:rPr>
      </w:pPr>
      <w:r w:rsidRPr="002A5FFF">
        <w:rPr>
          <w:rFonts w:ascii="Times New Roman" w:hAnsi="Times New Roman" w:cs="Times New Roman"/>
        </w:rPr>
        <w:t>The Resolution shall come into force on 1 October 2021</w:t>
      </w:r>
    </w:p>
    <w:p w14:paraId="696FCCEE" w14:textId="77777777" w:rsidR="002A5FFF" w:rsidRDefault="002A5FFF" w:rsidP="002A5FFF">
      <w:pPr>
        <w:spacing w:line="264" w:lineRule="auto"/>
        <w:ind w:left="851" w:right="811"/>
        <w:rPr>
          <w:rFonts w:ascii="Times New Roman" w:hAnsi="Times New Roman" w:cs="Times New Roman"/>
        </w:rPr>
      </w:pPr>
    </w:p>
    <w:p w14:paraId="7FACFE12" w14:textId="77777777" w:rsidR="002A5FFF" w:rsidRDefault="002A5FFF" w:rsidP="002A5FFF">
      <w:pPr>
        <w:spacing w:line="264" w:lineRule="auto"/>
        <w:ind w:left="851" w:right="811"/>
        <w:rPr>
          <w:rFonts w:ascii="Times New Roman" w:hAnsi="Times New Roman" w:cs="Times New Roman"/>
        </w:rPr>
      </w:pPr>
    </w:p>
    <w:p w14:paraId="2A9BE616" w14:textId="77777777" w:rsidR="002A5FFF" w:rsidRPr="002A5FFF" w:rsidRDefault="002A5FFF" w:rsidP="002A5FFF">
      <w:pPr>
        <w:spacing w:line="264" w:lineRule="auto"/>
        <w:ind w:left="851" w:right="811"/>
        <w:rPr>
          <w:rFonts w:ascii="Times New Roman" w:hAnsi="Times New Roman" w:cs="Times New Roman"/>
        </w:rPr>
      </w:pPr>
    </w:p>
    <w:p w14:paraId="0115C266" w14:textId="77777777" w:rsidR="002A5FFF" w:rsidRPr="002A5FFF" w:rsidRDefault="002A5FFF" w:rsidP="002A5FFF">
      <w:pPr>
        <w:spacing w:line="264" w:lineRule="auto"/>
        <w:ind w:left="851" w:right="811"/>
        <w:rPr>
          <w:rFonts w:ascii="Times New Roman" w:hAnsi="Times New Roman" w:cs="Times New Roman"/>
          <w:color w:val="0070C0"/>
          <w:sz w:val="20"/>
        </w:rPr>
      </w:pPr>
      <w:r w:rsidRPr="002A5FFF">
        <w:rPr>
          <w:rFonts w:ascii="Times New Roman" w:hAnsi="Times New Roman" w:cs="Times New Roman"/>
          <w:color w:val="0070C0"/>
          <w:sz w:val="20"/>
        </w:rPr>
        <w:t>Appendix</w:t>
      </w:r>
    </w:p>
    <w:p w14:paraId="3ACF60CD" w14:textId="77777777" w:rsidR="002A5FFF" w:rsidRPr="002A5FFF" w:rsidRDefault="002A5FFF" w:rsidP="002A5FFF">
      <w:pPr>
        <w:spacing w:line="264" w:lineRule="auto"/>
        <w:ind w:left="851" w:right="811"/>
        <w:rPr>
          <w:rFonts w:ascii="Times New Roman" w:hAnsi="Times New Roman" w:cs="Times New Roman"/>
          <w:sz w:val="20"/>
        </w:rPr>
      </w:pPr>
    </w:p>
    <w:p w14:paraId="195CB524" w14:textId="40C17696" w:rsidR="001F3FC7" w:rsidRPr="002A5FFF" w:rsidRDefault="002A5FFF" w:rsidP="002A5FFF">
      <w:pPr>
        <w:spacing w:line="264" w:lineRule="auto"/>
        <w:ind w:left="851" w:right="811"/>
        <w:rPr>
          <w:rFonts w:ascii="Times New Roman" w:hAnsi="Times New Roman" w:cs="Times New Roman"/>
          <w:sz w:val="20"/>
        </w:rPr>
      </w:pPr>
      <w:r w:rsidRPr="002A5FFF">
        <w:rPr>
          <w:rFonts w:ascii="Times New Roman" w:hAnsi="Times New Roman" w:cs="Times New Roman"/>
          <w:sz w:val="20"/>
        </w:rPr>
        <w:t>Printed 14.09.2022, 12:59:11</w:t>
      </w:r>
      <w:bookmarkStart w:id="0" w:name="_GoBack"/>
      <w:bookmarkEnd w:id="0"/>
    </w:p>
    <w:sectPr w:rsidR="001F3FC7" w:rsidRPr="002A5FFF" w:rsidSect="002A5FFF">
      <w:headerReference w:type="default" r:id="rId7"/>
      <w:footerReference w:type="default" r:id="rId8"/>
      <w:pgSz w:w="11910" w:h="16840"/>
      <w:pgMar w:top="851" w:right="740" w:bottom="1418" w:left="720" w:header="3" w:footer="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1AA44" w14:textId="77777777" w:rsidR="00B43A74" w:rsidRDefault="00B43A74">
      <w:r>
        <w:separator/>
      </w:r>
    </w:p>
  </w:endnote>
  <w:endnote w:type="continuationSeparator" w:id="0">
    <w:p w14:paraId="2D10E144" w14:textId="77777777" w:rsidR="00B43A74" w:rsidRDefault="00B4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4917" w14:textId="4C308945" w:rsidR="001F3FC7" w:rsidRDefault="001F3FC7">
    <w:pPr>
      <w:pStyle w:val="Tekstpodstawowy"/>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D8551" w14:textId="77777777" w:rsidR="00B43A74" w:rsidRDefault="00B43A74">
      <w:r>
        <w:separator/>
      </w:r>
    </w:p>
  </w:footnote>
  <w:footnote w:type="continuationSeparator" w:id="0">
    <w:p w14:paraId="7098A826" w14:textId="77777777" w:rsidR="00B43A74" w:rsidRDefault="00B43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F6A2A" w14:textId="5920B5B1" w:rsidR="001F3FC7" w:rsidRDefault="001F3FC7">
    <w:pPr>
      <w:pStyle w:val="Tekstpodstawowy"/>
      <w:spacing w:line="14"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A89"/>
    <w:multiLevelType w:val="hybridMultilevel"/>
    <w:tmpl w:val="A9D02C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63EC0FDC"/>
    <w:multiLevelType w:val="hybridMultilevel"/>
    <w:tmpl w:val="53065F62"/>
    <w:lvl w:ilvl="0" w:tplc="B570F7E6">
      <w:start w:val="1"/>
      <w:numFmt w:val="decimal"/>
      <w:lvlText w:val="%1."/>
      <w:lvlJc w:val="left"/>
      <w:pPr>
        <w:ind w:left="556" w:hanging="271"/>
      </w:pPr>
      <w:rPr>
        <w:rFonts w:ascii="Verdana" w:eastAsia="Verdana" w:hAnsi="Verdana" w:cs="Verdana" w:hint="default"/>
        <w:w w:val="99"/>
        <w:sz w:val="20"/>
        <w:szCs w:val="20"/>
        <w:lang w:val="pl-PL" w:eastAsia="en-US" w:bidi="ar-SA"/>
      </w:rPr>
    </w:lvl>
    <w:lvl w:ilvl="1" w:tplc="DBB2B8D8">
      <w:numFmt w:val="bullet"/>
      <w:lvlText w:val="•"/>
      <w:lvlJc w:val="left"/>
      <w:pPr>
        <w:ind w:left="1548" w:hanging="271"/>
      </w:pPr>
      <w:rPr>
        <w:rFonts w:hint="default"/>
        <w:lang w:val="pl-PL" w:eastAsia="en-US" w:bidi="ar-SA"/>
      </w:rPr>
    </w:lvl>
    <w:lvl w:ilvl="2" w:tplc="D4C665A8">
      <w:numFmt w:val="bullet"/>
      <w:lvlText w:val="•"/>
      <w:lvlJc w:val="left"/>
      <w:pPr>
        <w:ind w:left="2537" w:hanging="271"/>
      </w:pPr>
      <w:rPr>
        <w:rFonts w:hint="default"/>
        <w:lang w:val="pl-PL" w:eastAsia="en-US" w:bidi="ar-SA"/>
      </w:rPr>
    </w:lvl>
    <w:lvl w:ilvl="3" w:tplc="3412FF42">
      <w:numFmt w:val="bullet"/>
      <w:lvlText w:val="•"/>
      <w:lvlJc w:val="left"/>
      <w:pPr>
        <w:ind w:left="3525" w:hanging="271"/>
      </w:pPr>
      <w:rPr>
        <w:rFonts w:hint="default"/>
        <w:lang w:val="pl-PL" w:eastAsia="en-US" w:bidi="ar-SA"/>
      </w:rPr>
    </w:lvl>
    <w:lvl w:ilvl="4" w:tplc="250CBA72">
      <w:numFmt w:val="bullet"/>
      <w:lvlText w:val="•"/>
      <w:lvlJc w:val="left"/>
      <w:pPr>
        <w:ind w:left="4514" w:hanging="271"/>
      </w:pPr>
      <w:rPr>
        <w:rFonts w:hint="default"/>
        <w:lang w:val="pl-PL" w:eastAsia="en-US" w:bidi="ar-SA"/>
      </w:rPr>
    </w:lvl>
    <w:lvl w:ilvl="5" w:tplc="27FA01AE">
      <w:numFmt w:val="bullet"/>
      <w:lvlText w:val="•"/>
      <w:lvlJc w:val="left"/>
      <w:pPr>
        <w:ind w:left="5503" w:hanging="271"/>
      </w:pPr>
      <w:rPr>
        <w:rFonts w:hint="default"/>
        <w:lang w:val="pl-PL" w:eastAsia="en-US" w:bidi="ar-SA"/>
      </w:rPr>
    </w:lvl>
    <w:lvl w:ilvl="6" w:tplc="E68649D0">
      <w:numFmt w:val="bullet"/>
      <w:lvlText w:val="•"/>
      <w:lvlJc w:val="left"/>
      <w:pPr>
        <w:ind w:left="6491" w:hanging="271"/>
      </w:pPr>
      <w:rPr>
        <w:rFonts w:hint="default"/>
        <w:lang w:val="pl-PL" w:eastAsia="en-US" w:bidi="ar-SA"/>
      </w:rPr>
    </w:lvl>
    <w:lvl w:ilvl="7" w:tplc="0C3A7232">
      <w:numFmt w:val="bullet"/>
      <w:lvlText w:val="•"/>
      <w:lvlJc w:val="left"/>
      <w:pPr>
        <w:ind w:left="7480" w:hanging="271"/>
      </w:pPr>
      <w:rPr>
        <w:rFonts w:hint="default"/>
        <w:lang w:val="pl-PL" w:eastAsia="en-US" w:bidi="ar-SA"/>
      </w:rPr>
    </w:lvl>
    <w:lvl w:ilvl="8" w:tplc="5576112E">
      <w:numFmt w:val="bullet"/>
      <w:lvlText w:val="•"/>
      <w:lvlJc w:val="left"/>
      <w:pPr>
        <w:ind w:left="8469" w:hanging="271"/>
      </w:pPr>
      <w:rPr>
        <w:rFonts w:hint="default"/>
        <w:lang w:val="pl-PL" w:eastAsia="en-US" w:bidi="ar-SA"/>
      </w:rPr>
    </w:lvl>
  </w:abstractNum>
  <w:abstractNum w:abstractNumId="2" w15:restartNumberingAfterBreak="0">
    <w:nsid w:val="74D96DED"/>
    <w:multiLevelType w:val="hybridMultilevel"/>
    <w:tmpl w:val="C37621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7F1347B1"/>
    <w:multiLevelType w:val="hybridMultilevel"/>
    <w:tmpl w:val="2CAA00B6"/>
    <w:lvl w:ilvl="0" w:tplc="C3BEDA06">
      <w:start w:val="1"/>
      <w:numFmt w:val="decimal"/>
      <w:lvlText w:val="%1)"/>
      <w:lvlJc w:val="left"/>
      <w:pPr>
        <w:ind w:left="518" w:hanging="291"/>
        <w:jc w:val="right"/>
      </w:pPr>
      <w:rPr>
        <w:rFonts w:ascii="Verdana" w:eastAsia="Verdana" w:hAnsi="Verdana" w:cs="Verdana" w:hint="default"/>
        <w:w w:val="99"/>
        <w:sz w:val="20"/>
        <w:szCs w:val="20"/>
        <w:lang w:val="pl-PL" w:eastAsia="en-US" w:bidi="ar-SA"/>
      </w:rPr>
    </w:lvl>
    <w:lvl w:ilvl="1" w:tplc="C074CC3A">
      <w:numFmt w:val="bullet"/>
      <w:lvlText w:val="•"/>
      <w:lvlJc w:val="left"/>
      <w:pPr>
        <w:ind w:left="560" w:hanging="291"/>
      </w:pPr>
      <w:rPr>
        <w:rFonts w:hint="default"/>
        <w:lang w:val="pl-PL" w:eastAsia="en-US" w:bidi="ar-SA"/>
      </w:rPr>
    </w:lvl>
    <w:lvl w:ilvl="2" w:tplc="678CD3D6">
      <w:numFmt w:val="bullet"/>
      <w:lvlText w:val="•"/>
      <w:lvlJc w:val="left"/>
      <w:pPr>
        <w:ind w:left="1658" w:hanging="291"/>
      </w:pPr>
      <w:rPr>
        <w:rFonts w:hint="default"/>
        <w:lang w:val="pl-PL" w:eastAsia="en-US" w:bidi="ar-SA"/>
      </w:rPr>
    </w:lvl>
    <w:lvl w:ilvl="3" w:tplc="335A86C0">
      <w:numFmt w:val="bullet"/>
      <w:lvlText w:val="•"/>
      <w:lvlJc w:val="left"/>
      <w:pPr>
        <w:ind w:left="2756" w:hanging="291"/>
      </w:pPr>
      <w:rPr>
        <w:rFonts w:hint="default"/>
        <w:lang w:val="pl-PL" w:eastAsia="en-US" w:bidi="ar-SA"/>
      </w:rPr>
    </w:lvl>
    <w:lvl w:ilvl="4" w:tplc="1D3620AA">
      <w:numFmt w:val="bullet"/>
      <w:lvlText w:val="•"/>
      <w:lvlJc w:val="left"/>
      <w:pPr>
        <w:ind w:left="3855" w:hanging="291"/>
      </w:pPr>
      <w:rPr>
        <w:rFonts w:hint="default"/>
        <w:lang w:val="pl-PL" w:eastAsia="en-US" w:bidi="ar-SA"/>
      </w:rPr>
    </w:lvl>
    <w:lvl w:ilvl="5" w:tplc="7854AA2E">
      <w:numFmt w:val="bullet"/>
      <w:lvlText w:val="•"/>
      <w:lvlJc w:val="left"/>
      <w:pPr>
        <w:ind w:left="4953" w:hanging="291"/>
      </w:pPr>
      <w:rPr>
        <w:rFonts w:hint="default"/>
        <w:lang w:val="pl-PL" w:eastAsia="en-US" w:bidi="ar-SA"/>
      </w:rPr>
    </w:lvl>
    <w:lvl w:ilvl="6" w:tplc="17AC7FF8">
      <w:numFmt w:val="bullet"/>
      <w:lvlText w:val="•"/>
      <w:lvlJc w:val="left"/>
      <w:pPr>
        <w:ind w:left="6052" w:hanging="291"/>
      </w:pPr>
      <w:rPr>
        <w:rFonts w:hint="default"/>
        <w:lang w:val="pl-PL" w:eastAsia="en-US" w:bidi="ar-SA"/>
      </w:rPr>
    </w:lvl>
    <w:lvl w:ilvl="7" w:tplc="DDC436F4">
      <w:numFmt w:val="bullet"/>
      <w:lvlText w:val="•"/>
      <w:lvlJc w:val="left"/>
      <w:pPr>
        <w:ind w:left="7150" w:hanging="291"/>
      </w:pPr>
      <w:rPr>
        <w:rFonts w:hint="default"/>
        <w:lang w:val="pl-PL" w:eastAsia="en-US" w:bidi="ar-SA"/>
      </w:rPr>
    </w:lvl>
    <w:lvl w:ilvl="8" w:tplc="B3C04D08">
      <w:numFmt w:val="bullet"/>
      <w:lvlText w:val="•"/>
      <w:lvlJc w:val="left"/>
      <w:pPr>
        <w:ind w:left="8249" w:hanging="291"/>
      </w:pPr>
      <w:rPr>
        <w:rFonts w:hint="default"/>
        <w:lang w:val="pl-PL"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C7"/>
    <w:rsid w:val="00196C72"/>
    <w:rsid w:val="001F3FC7"/>
    <w:rsid w:val="002A5FFF"/>
    <w:rsid w:val="0050099A"/>
    <w:rsid w:val="00B43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A13D"/>
  <w15:docId w15:val="{909AA96A-C507-4FE2-9A36-59331C79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rPr>
  </w:style>
  <w:style w:type="paragraph" w:styleId="Nagwek1">
    <w:name w:val="heading 1"/>
    <w:basedOn w:val="Normalny"/>
    <w:uiPriority w:val="9"/>
    <w:qFormat/>
    <w:pPr>
      <w:ind w:left="208" w:right="2879"/>
      <w:jc w:val="center"/>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56"/>
    </w:pPr>
    <w:rPr>
      <w:sz w:val="20"/>
      <w:szCs w:val="20"/>
    </w:rPr>
  </w:style>
  <w:style w:type="paragraph" w:styleId="Akapitzlist">
    <w:name w:val="List Paragraph"/>
    <w:basedOn w:val="Normalny"/>
    <w:uiPriority w:val="1"/>
    <w:qFormat/>
    <w:pPr>
      <w:spacing w:before="37" w:line="242" w:lineRule="exact"/>
      <w:ind w:left="518" w:hanging="29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A5FFF"/>
    <w:pPr>
      <w:tabs>
        <w:tab w:val="center" w:pos="4536"/>
        <w:tab w:val="right" w:pos="9072"/>
      </w:tabs>
    </w:pPr>
  </w:style>
  <w:style w:type="character" w:customStyle="1" w:styleId="NagwekZnak">
    <w:name w:val="Nagłówek Znak"/>
    <w:basedOn w:val="Domylnaczcionkaakapitu"/>
    <w:link w:val="Nagwek"/>
    <w:uiPriority w:val="99"/>
    <w:rsid w:val="002A5FFF"/>
    <w:rPr>
      <w:rFonts w:ascii="Verdana" w:eastAsia="Verdana" w:hAnsi="Verdana" w:cs="Verdana"/>
    </w:rPr>
  </w:style>
  <w:style w:type="paragraph" w:styleId="Stopka">
    <w:name w:val="footer"/>
    <w:basedOn w:val="Normalny"/>
    <w:link w:val="StopkaZnak"/>
    <w:uiPriority w:val="99"/>
    <w:unhideWhenUsed/>
    <w:rsid w:val="002A5FFF"/>
    <w:pPr>
      <w:tabs>
        <w:tab w:val="center" w:pos="4536"/>
        <w:tab w:val="right" w:pos="9072"/>
      </w:tabs>
    </w:pPr>
  </w:style>
  <w:style w:type="character" w:customStyle="1" w:styleId="StopkaZnak">
    <w:name w:val="Stopka Znak"/>
    <w:basedOn w:val="Domylnaczcionkaakapitu"/>
    <w:link w:val="Stopka"/>
    <w:uiPriority w:val="99"/>
    <w:rsid w:val="002A5FFF"/>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4642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Biuletyn Informacji Publicznej Politechniki Krakowskiej</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Biuletyn Informacji Publicznej Politechniki Krakowskiej</dc:title>
  <dc:creator>j.malkuch</dc:creator>
  <cp:lastModifiedBy>Admin</cp:lastModifiedBy>
  <cp:revision>2</cp:revision>
  <dcterms:created xsi:type="dcterms:W3CDTF">2023-03-07T14:53:00Z</dcterms:created>
  <dcterms:modified xsi:type="dcterms:W3CDTF">2023-03-07T14:53:00Z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2022-09-14T00:00:00Z</vt:filetime>
  </property>
  <property fmtid="{D5CDD505-2E9C-101B-9397-08002B2CF9AE}" pid="3" name="LastSaved">
    <vt:filetime>2023-01-01T00:00:00Z</vt:filetime>
  </property>
</Properties>
</file>